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01"/>
        </w:tabs>
        <w:ind w:left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ПОЯСНИТЕЛЬНАЯ ЗАПИСКА</w:t>
      </w:r>
    </w:p>
    <w:p>
      <w:pPr>
        <w:tabs>
          <w:tab w:val="left" w:pos="1701"/>
        </w:tabs>
        <w:ind w:left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auto"/>
        </w:rPr>
        <w:t xml:space="preserve">к проекту решения Думы Белоярского района «О внесении изменений в приложение к решению Думы Белоярского района от 29 октября 2014 года № 486» </w:t>
      </w:r>
      <w:r>
        <w:rPr>
          <w:rFonts w:ascii="Times New Roman" w:hAnsi="Times New Roman" w:cs="Times New Roman"/>
          <w:b/>
        </w:rPr>
        <w:t>(далее – Проект)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>
      <w:pPr>
        <w:tabs>
          <w:tab w:val="left" w:pos="1701"/>
        </w:tabs>
        <w:ind w:left="567"/>
        <w:jc w:val="center"/>
        <w:rPr>
          <w:rFonts w:ascii="Times New Roman" w:hAnsi="Times New Roman" w:cs="Times New Roman"/>
          <w:b/>
        </w:rPr>
      </w:pPr>
    </w:p>
    <w:p>
      <w:pPr>
        <w:keepNext w:val="0"/>
        <w:keepLines w:val="0"/>
        <w:widowControl/>
        <w:suppressLineNumbers w:val="0"/>
        <w:ind w:left="0" w:leftChars="0" w:firstLine="720" w:firstLineChars="300"/>
        <w:jc w:val="both"/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ru-RU" w:bidi="ar-SA"/>
        </w:rPr>
      </w:pP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ru-RU" w:bidi="ar-SA"/>
        </w:rPr>
        <w:t>Данным Проектом предлагается внести в приложение «Положение о налоге на имущество физических лиц на межселенной территории Белоярского района» к решению Думы Белоярского района от 29 октября 2014 года № 486 «Об утверждении Положения о налоге на имущество физических лиц на межселенной территории Белоярского района» изменение, путем уменьшения ставки налога на имущество физических лиц в отношении объектов налогообложения, включенных в перечень, определяемый в соответствии с пунктом 7 статьи 378.2 НК РФ, в отношении объектов налогообложения, предусмотренных абзацем вторым пункта 10 статьи 378.2 НК РФ, а также в отношении объектов налогообложения, кадастровая стоимость каждого из которых превышает 300 миллионов рублей, с 1 % до 0,8 %, распространив положения данного изменения на правоотношения, связанные с исчислением налога на имущество физических лиц за 2022 год.</w:t>
      </w:r>
    </w:p>
    <w:p>
      <w:pPr>
        <w:keepNext w:val="0"/>
        <w:keepLines w:val="0"/>
        <w:widowControl/>
        <w:suppressLineNumbers w:val="0"/>
        <w:ind w:left="0" w:leftChars="0" w:firstLine="720" w:firstLineChars="300"/>
        <w:jc w:val="both"/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en-US" w:eastAsia="ru-RU" w:bidi="ar-SA"/>
        </w:rPr>
      </w:pP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ru-RU" w:bidi="ar-SA"/>
        </w:rPr>
        <w:t>В целях обеспечения устойчивого развития  экономики и социальной стабильности на территории  Белоярского района, в соответствии с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en-US" w:eastAsia="ru-RU" w:bidi="ar-SA"/>
        </w:rPr>
        <w:t xml:space="preserve"> 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ru-RU" w:bidi="ar-SA"/>
        </w:rPr>
        <w:t>распоряжением Правительства Ханты-Мансийского автономного округа - Югры от 25 марта 2022 года № 118-р «О плане первоочередных действий по обеспечению развития экономики Ханты-Мансийского автономного округа – Югры в условиях внешнего санкционного давления на 2022 год»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en-US" w:eastAsia="ru-RU" w:bidi="ar-SA"/>
        </w:rPr>
        <w:t xml:space="preserve">, вышеуказанная мера включена в  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ru-RU" w:bidi="ar-SA"/>
        </w:rPr>
        <w:t>План первоочередных мероприятий по обеспечению развития экономики в Белоярском районе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en-US" w:eastAsia="ru-RU" w:bidi="ar-SA"/>
        </w:rPr>
        <w:t>, утверждённый распоряжением администрации Белоярского района от 08 апреля 2022 года № 107-р (в редакции распоряжения от 21 апреля 2022 года № 122-р).</w:t>
      </w:r>
    </w:p>
    <w:p>
      <w:pPr>
        <w:keepNext w:val="0"/>
        <w:keepLines w:val="0"/>
        <w:widowControl/>
        <w:suppressLineNumbers w:val="0"/>
        <w:ind w:left="0" w:leftChars="0" w:firstLine="720" w:firstLineChars="300"/>
        <w:jc w:val="both"/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zh-CN" w:bidi="ar-SA"/>
        </w:rPr>
      </w:pP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ru-RU" w:bidi="ar-SA"/>
        </w:rPr>
        <w:t>В адрес администрации Белоярского района от Партнерства «Союз предпринимателей, производителей Белоярского района»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en-US" w:eastAsia="ru-RU" w:bidi="ar-SA"/>
        </w:rPr>
        <w:t xml:space="preserve"> 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ru-RU" w:bidi="ar-SA"/>
        </w:rPr>
        <w:t>поступило ходатайство о снижении ставки по налогу на имущество физических лиц с 1% до 0,5 % для объектов налогообложения, включенных в  перечень, определяемый в соответствии с пунктом 7 статьи 378.2 НК РФ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en-US" w:eastAsia="ru-RU" w:bidi="ar-SA"/>
        </w:rPr>
        <w:t xml:space="preserve"> 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ru-RU" w:bidi="ar-SA"/>
        </w:rPr>
        <w:t xml:space="preserve"> на 2022 год, с целью 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en-US" w:eastAsia="zh-CN" w:bidi="ar-SA"/>
        </w:rPr>
        <w:t>поддержки субъектов малого и среднего предпринимательства в части преодоления последствий экономических санкции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zh-CN" w:bidi="ar-SA"/>
        </w:rPr>
        <w:t>, наложенных западными странами и их союзниками на Российскую Федерацию.</w:t>
      </w:r>
    </w:p>
    <w:p>
      <w:pPr>
        <w:keepNext w:val="0"/>
        <w:keepLines w:val="0"/>
        <w:widowControl/>
        <w:suppressLineNumbers w:val="0"/>
        <w:ind w:left="0" w:leftChars="0" w:firstLine="720" w:firstLineChars="300"/>
        <w:jc w:val="both"/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zh-CN" w:bidi="ar-SA"/>
        </w:rPr>
      </w:pP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zh-CN" w:bidi="ar-SA"/>
        </w:rPr>
        <w:t xml:space="preserve">Финансовым органом администрации Белоярского района проведен анализ налоговых расходов Белоярского района при введении пониженных ставок по налогу на имущество физических лиц 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ru-RU" w:bidi="ar-SA"/>
        </w:rPr>
        <w:t>для объектов налогообложения, включенных в  перечень, определяемый в соответствии с пунктом 7 статьи 378.2 НК РФ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en-US" w:eastAsia="ru-RU" w:bidi="ar-SA"/>
        </w:rPr>
        <w:t xml:space="preserve"> 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zh-CN" w:bidi="ar-SA"/>
        </w:rPr>
        <w:t>(данные анализа приведены в таблице 1).</w:t>
      </w:r>
    </w:p>
    <w:p>
      <w:pPr>
        <w:keepNext w:val="0"/>
        <w:keepLines w:val="0"/>
        <w:widowControl/>
        <w:suppressLineNumbers w:val="0"/>
        <w:ind w:left="0" w:leftChars="0" w:firstLine="720" w:firstLineChars="300"/>
        <w:jc w:val="both"/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zh-CN" w:bidi="ar-SA"/>
        </w:rPr>
      </w:pPr>
    </w:p>
    <w:p>
      <w:pPr>
        <w:keepNext w:val="0"/>
        <w:keepLines w:val="0"/>
        <w:widowControl/>
        <w:suppressLineNumbers w:val="0"/>
        <w:ind w:left="0" w:leftChars="0" w:firstLine="0" w:firstLineChars="0"/>
        <w:jc w:val="right"/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 w:eastAsia="zh-CN" w:bidi="ar-SA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 w:eastAsia="zh-CN" w:bidi="ar-SA"/>
        </w:rPr>
        <w:t>Таблица 1</w:t>
      </w:r>
    </w:p>
    <w:p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 w:eastAsia="zh-CN" w:bidi="ar-SA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 w:eastAsia="zh-CN" w:bidi="ar-SA"/>
        </w:rPr>
        <w:t>Анализ</w:t>
      </w:r>
    </w:p>
    <w:p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 w:eastAsia="zh-CN" w:bidi="ar-SA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 w:eastAsia="zh-CN" w:bidi="ar-SA"/>
        </w:rPr>
        <w:t>налоговых расходов Белоярского района при введении пониженной ставки</w:t>
      </w:r>
    </w:p>
    <w:p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 w:eastAsia="zh-CN" w:bidi="ar-SA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 w:eastAsia="zh-CN" w:bidi="ar-SA"/>
        </w:rPr>
        <w:t xml:space="preserve">по налогу на имущество физических лиц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 w:eastAsia="ru-RU" w:bidi="ar-SA"/>
        </w:rPr>
        <w:t>для объектов налогообложения, включенных в  перечень, определяемый в соответствии с пунктом 7 статьи 378.2 НК РФ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en-US" w:eastAsia="ru-RU" w:bidi="ar-SA"/>
        </w:rPr>
        <w:t xml:space="preserve"> </w:t>
      </w:r>
    </w:p>
    <w:p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 w:eastAsia="zh-CN" w:bidi="ar-SA"/>
        </w:rPr>
      </w:pPr>
    </w:p>
    <w:tbl>
      <w:tblPr>
        <w:tblStyle w:val="7"/>
        <w:tblW w:w="102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9"/>
        <w:gridCol w:w="909"/>
        <w:gridCol w:w="1408"/>
        <w:gridCol w:w="1200"/>
        <w:gridCol w:w="1085"/>
        <w:gridCol w:w="1373"/>
        <w:gridCol w:w="911"/>
        <w:gridCol w:w="1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06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  <w:t>Наименование муниципального образования</w:t>
            </w:r>
          </w:p>
        </w:tc>
        <w:tc>
          <w:tcPr>
            <w:tcW w:w="90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  <w:t>Ставка, установленная статьей 406 НК РФ, %</w:t>
            </w:r>
          </w:p>
        </w:tc>
        <w:tc>
          <w:tcPr>
            <w:tcW w:w="140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  <w:t>Действующая ставка, устано- вленная норматив-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  <w:t>ными актами района и поселений, %</w:t>
            </w:r>
          </w:p>
        </w:tc>
        <w:tc>
          <w:tcPr>
            <w:tcW w:w="120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  <w:t>Выпадающие доходы при действующей ставке,  тыс.руб</w:t>
            </w:r>
          </w:p>
        </w:tc>
        <w:tc>
          <w:tcPr>
            <w:tcW w:w="10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  <w:t>Ставка , предла-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  <w:t>гаемая данным Проектом, %</w:t>
            </w:r>
          </w:p>
        </w:tc>
        <w:tc>
          <w:tcPr>
            <w:tcW w:w="137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  <w:t>Выпадающие доходы при ставке, предлагаемой Проектом,  тыс.руб</w:t>
            </w:r>
          </w:p>
        </w:tc>
        <w:tc>
          <w:tcPr>
            <w:tcW w:w="91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  <w:t>Ставка , предла-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  <w:t>гаемая Партнерством, %</w:t>
            </w:r>
          </w:p>
        </w:tc>
        <w:tc>
          <w:tcPr>
            <w:tcW w:w="1339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  <w:t>Выпадающие доходы при ставке, предлага-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  <w:t>емой Партнер-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vertAlign w:val="baseline"/>
                <w:lang w:val="ru-RU" w:eastAsia="zh-CN" w:bidi="ar-SA"/>
              </w:rPr>
              <w:t>ством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Белоярский район</w:t>
            </w:r>
          </w:p>
        </w:tc>
        <w:tc>
          <w:tcPr>
            <w:tcW w:w="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2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1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0,00</w:t>
            </w:r>
          </w:p>
        </w:tc>
        <w:tc>
          <w:tcPr>
            <w:tcW w:w="1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0,8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0,00</w:t>
            </w:r>
          </w:p>
        </w:tc>
        <w:tc>
          <w:tcPr>
            <w:tcW w:w="9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0,5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Городское поселения Белоярский</w:t>
            </w:r>
          </w:p>
        </w:tc>
        <w:tc>
          <w:tcPr>
            <w:tcW w:w="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2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1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4 967,56</w:t>
            </w:r>
          </w:p>
        </w:tc>
        <w:tc>
          <w:tcPr>
            <w:tcW w:w="1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0,8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5 961,07</w:t>
            </w:r>
          </w:p>
        </w:tc>
        <w:tc>
          <w:tcPr>
            <w:tcW w:w="9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0,5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7 451,34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Сельское поселение Верхнеказымский</w:t>
            </w:r>
          </w:p>
        </w:tc>
        <w:tc>
          <w:tcPr>
            <w:tcW w:w="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2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1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195,29</w:t>
            </w:r>
          </w:p>
        </w:tc>
        <w:tc>
          <w:tcPr>
            <w:tcW w:w="1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0,8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234,35</w:t>
            </w:r>
          </w:p>
        </w:tc>
        <w:tc>
          <w:tcPr>
            <w:tcW w:w="9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0,5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292,94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Сельское поселения Казым</w:t>
            </w:r>
          </w:p>
        </w:tc>
        <w:tc>
          <w:tcPr>
            <w:tcW w:w="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2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1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64,62</w:t>
            </w:r>
          </w:p>
        </w:tc>
        <w:tc>
          <w:tcPr>
            <w:tcW w:w="1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0,8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77,55</w:t>
            </w:r>
          </w:p>
        </w:tc>
        <w:tc>
          <w:tcPr>
            <w:tcW w:w="9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0,5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96,93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Сельское поселение Полноват</w:t>
            </w:r>
          </w:p>
        </w:tc>
        <w:tc>
          <w:tcPr>
            <w:tcW w:w="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2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1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178,75</w:t>
            </w:r>
          </w:p>
        </w:tc>
        <w:tc>
          <w:tcPr>
            <w:tcW w:w="1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0,8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214,50</w:t>
            </w:r>
          </w:p>
        </w:tc>
        <w:tc>
          <w:tcPr>
            <w:tcW w:w="9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0,5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268,13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Сельское поселение Лыхма</w:t>
            </w:r>
          </w:p>
        </w:tc>
        <w:tc>
          <w:tcPr>
            <w:tcW w:w="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2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1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229,71</w:t>
            </w:r>
          </w:p>
        </w:tc>
        <w:tc>
          <w:tcPr>
            <w:tcW w:w="1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0,8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275,65</w:t>
            </w:r>
          </w:p>
        </w:tc>
        <w:tc>
          <w:tcPr>
            <w:tcW w:w="9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0,5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344,57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Сельское поселение Сорум</w:t>
            </w:r>
          </w:p>
        </w:tc>
        <w:tc>
          <w:tcPr>
            <w:tcW w:w="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2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1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196,56</w:t>
            </w:r>
          </w:p>
        </w:tc>
        <w:tc>
          <w:tcPr>
            <w:tcW w:w="1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0,8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235,87</w:t>
            </w:r>
          </w:p>
        </w:tc>
        <w:tc>
          <w:tcPr>
            <w:tcW w:w="9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0,5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294,84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Сельское поселение Сосновка</w:t>
            </w:r>
          </w:p>
        </w:tc>
        <w:tc>
          <w:tcPr>
            <w:tcW w:w="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2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1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295,42</w:t>
            </w:r>
          </w:p>
        </w:tc>
        <w:tc>
          <w:tcPr>
            <w:tcW w:w="1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0,8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354,51</w:t>
            </w:r>
          </w:p>
        </w:tc>
        <w:tc>
          <w:tcPr>
            <w:tcW w:w="9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0,5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color w:val="auto"/>
                <w:sz w:val="24"/>
                <w:szCs w:val="24"/>
                <w:vertAlign w:val="baseline"/>
                <w:lang w:val="ru-RU" w:eastAsia="zh-CN" w:bidi="ar-SA"/>
              </w:rPr>
              <w:t>443,13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vertAlign w:val="baseline"/>
                <w:lang w:val="ru-RU" w:eastAsia="zh-CN" w:bidi="ar-SA"/>
              </w:rPr>
              <w:t>ИТОГО:</w:t>
            </w:r>
          </w:p>
        </w:tc>
        <w:tc>
          <w:tcPr>
            <w:tcW w:w="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vertAlign w:val="baseline"/>
                <w:lang w:val="ru-RU" w:eastAsia="zh-CN" w:bidi="ar-SA"/>
              </w:rPr>
              <w:t>6 127,91</w:t>
            </w:r>
          </w:p>
        </w:tc>
        <w:tc>
          <w:tcPr>
            <w:tcW w:w="1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vertAlign w:val="baseline"/>
                <w:lang w:val="ru-RU" w:eastAsia="zh-CN" w:bidi="ar-SA"/>
              </w:rPr>
              <w:t>7 353,50</w:t>
            </w:r>
          </w:p>
        </w:tc>
        <w:tc>
          <w:tcPr>
            <w:tcW w:w="9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vertAlign w:val="baseline"/>
                <w:lang w:val="ru-RU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vertAlign w:val="baseline"/>
                <w:lang w:val="ru-RU" w:eastAsia="zh-CN" w:bidi="ar-SA"/>
              </w:rPr>
              <w:t>9 191,88</w:t>
            </w:r>
          </w:p>
        </w:tc>
      </w:tr>
    </w:tbl>
    <w:p>
      <w:pPr>
        <w:keepNext w:val="0"/>
        <w:keepLines w:val="0"/>
        <w:widowControl/>
        <w:suppressLineNumbers w:val="0"/>
        <w:ind w:left="0" w:leftChars="0" w:firstLine="0" w:firstLineChars="0"/>
        <w:jc w:val="both"/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zh-CN" w:bidi="ar-SA"/>
        </w:rPr>
      </w:pPr>
    </w:p>
    <w:p>
      <w:pPr>
        <w:keepNext w:val="0"/>
        <w:keepLines w:val="0"/>
        <w:widowControl/>
        <w:suppressLineNumbers w:val="0"/>
        <w:ind w:left="0" w:leftChars="0" w:firstLine="720" w:firstLineChars="300"/>
        <w:jc w:val="both"/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zh-CN" w:bidi="ar-SA"/>
        </w:rPr>
      </w:pP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zh-CN" w:bidi="ar-SA"/>
        </w:rPr>
        <w:t xml:space="preserve">При действующей  пониженной ставке налога на имущество физических лиц   в размере 1 процент, налоговые расходы консолидированного бюджета Белоярского района  составляют  6 127,91 тыс.рублей, при снижении  ставки до 0,5 процента налоговые расходы увеличатся на      3 063,97 тыс.рублей и составят 9 191,88 тыс.рублей, </w:t>
      </w:r>
      <w:r>
        <w:rPr>
          <w:rFonts w:hint="default" w:ascii="Times New Roman" w:hAnsi="Times New Roman" w:eastAsia="SimSun" w:cs="Times New Roman"/>
          <w:b w:val="0"/>
          <w:bCs w:val="0"/>
          <w:sz w:val="24"/>
          <w:u w:val="none"/>
          <w:lang w:val="ru-RU" w:eastAsia="zh-CN" w:bidi="ar-SA"/>
        </w:rPr>
        <w:t xml:space="preserve">или 0,9 % от запланированных к поступлению в консолидированный бюджет района налоговых и неналоговых доходов района  в 2022 году (978 898,1 тыс.рублей). Для дотационного бюджета Белоярского района это существенные потери. 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zh-CN" w:bidi="ar-SA"/>
        </w:rPr>
        <w:t>Несмотря на сравнительно невысокую долю налога на имущество физических лиц в общем объёме доходных поступлений консолидированного бюджета Белоярского района, он выступает в качестве важного источника формирования собственной доходной базы района, средства от уплаты которого направляются на решение социально-экономических задач, стоящих перед органами местного самоуправления.</w:t>
      </w:r>
    </w:p>
    <w:p>
      <w:pPr>
        <w:keepNext w:val="0"/>
        <w:keepLines w:val="0"/>
        <w:widowControl/>
        <w:suppressLineNumbers w:val="0"/>
        <w:ind w:left="0" w:leftChars="0" w:firstLine="720" w:firstLineChars="300"/>
        <w:jc w:val="both"/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ru-RU" w:bidi="ar-SA"/>
        </w:rPr>
      </w:pP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zh-CN" w:bidi="ar-SA"/>
        </w:rPr>
        <w:t xml:space="preserve">На основании вышеизложенного, в целях снижения налоговой нагрузки для субъектов малого и среднего предпринимательства в период санкционных ограничений, Проектом предлагается 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ru-RU" w:bidi="ar-SA"/>
        </w:rPr>
        <w:t>ставку налога на имущество физических лиц в отношении объектов налогообложения, включенных в перечень, определяемый в соответствии с пунктом 7 статьи 378.2 НК РФ, в отношении объектов налогообложения, предусмотренных абзацем вторым пункта 10 статьи 378.2 НК РФ, а также в отношении объектов налогообложения, кадастровая стоимость каждого из которых превышает 300 миллионов рублей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en-US" w:eastAsia="ru-RU" w:bidi="ar-SA"/>
        </w:rPr>
        <w:t xml:space="preserve"> снизить </w:t>
      </w:r>
      <w:r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ru-RU" w:bidi="ar-SA"/>
        </w:rPr>
        <w:t>до 0,8 %, распространив положения данного изменения на правоотношения, связанные с исчислением налога на имущество физических лиц за 2022 год.</w:t>
      </w:r>
    </w:p>
    <w:p>
      <w:pPr>
        <w:keepNext w:val="0"/>
        <w:keepLines w:val="0"/>
        <w:widowControl/>
        <w:suppressLineNumbers w:val="0"/>
        <w:ind w:left="0" w:leftChars="0" w:firstLine="720" w:firstLineChars="300"/>
        <w:jc w:val="both"/>
        <w:rPr>
          <w:rFonts w:hint="default" w:ascii="Times New Roman" w:hAnsi="Times New Roman" w:eastAsia="Times New Roman" w:cs="Times New Roman"/>
          <w:b w:val="0"/>
          <w:color w:val="auto"/>
          <w:sz w:val="24"/>
          <w:szCs w:val="24"/>
          <w:lang w:val="ru-RU" w:eastAsia="zh-CN" w:bidi="ar-SA"/>
        </w:rPr>
      </w:pPr>
    </w:p>
    <w:p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решения </w:t>
      </w:r>
      <w:r>
        <w:rPr>
          <w:rFonts w:ascii="Times New Roman" w:hAnsi="Times New Roman" w:cs="Times New Roman"/>
          <w:b/>
          <w:color w:val="auto"/>
        </w:rPr>
        <w:t>Думы Белоярского района «О внесении изменений в приложение к решению Думы Белоярского района от 29 октября 2014 года № 486»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>
      <w:pPr>
        <w:tabs>
          <w:tab w:val="left" w:pos="1701"/>
        </w:tabs>
        <w:ind w:firstLine="851"/>
        <w:jc w:val="both"/>
        <w:rPr>
          <w:rFonts w:ascii="Times New Roman" w:hAnsi="Times New Roman" w:eastAsia="Calibri" w:cs="Times New Roman"/>
          <w:color w:val="auto"/>
          <w:lang w:eastAsia="en-US"/>
        </w:rPr>
      </w:pPr>
      <w:r>
        <w:rPr>
          <w:rFonts w:ascii="Times New Roman" w:hAnsi="Times New Roman" w:eastAsia="Calibri" w:cs="Times New Roman"/>
          <w:color w:val="auto"/>
          <w:lang w:eastAsia="en-US"/>
        </w:rPr>
        <w:t xml:space="preserve">Принятие проекта решения </w:t>
      </w:r>
      <w:r>
        <w:rPr>
          <w:rFonts w:ascii="Times New Roman" w:hAnsi="Times New Roman" w:cs="Times New Roman"/>
          <w:color w:val="auto"/>
        </w:rPr>
        <w:t xml:space="preserve">Думы Белоярского района «О внесении изменений в приложение к решению Думы Белоярского района от 29 октября 2014 года № 486» </w:t>
      </w:r>
      <w:r>
        <w:rPr>
          <w:rFonts w:ascii="Times New Roman" w:hAnsi="Times New Roman" w:eastAsia="Calibri" w:cs="Times New Roman"/>
          <w:color w:val="auto"/>
          <w:lang w:eastAsia="en-US"/>
        </w:rPr>
        <w:t xml:space="preserve">не повлечет за собой отмену  нормативно- правовых актов </w:t>
      </w:r>
      <w:r>
        <w:rPr>
          <w:rFonts w:ascii="Times New Roman" w:hAnsi="Times New Roman" w:eastAsia="Calibri" w:cs="Times New Roman"/>
          <w:color w:val="auto"/>
          <w:lang w:val="ru-RU" w:eastAsia="en-US"/>
        </w:rPr>
        <w:t>Белоярского</w:t>
      </w:r>
      <w:r>
        <w:rPr>
          <w:rFonts w:hint="default" w:ascii="Times New Roman" w:hAnsi="Times New Roman" w:eastAsia="Calibri" w:cs="Times New Roman"/>
          <w:color w:val="auto"/>
          <w:lang w:val="ru-RU" w:eastAsia="en-US"/>
        </w:rPr>
        <w:t xml:space="preserve"> района</w:t>
      </w:r>
      <w:r>
        <w:rPr>
          <w:rFonts w:ascii="Times New Roman" w:hAnsi="Times New Roman" w:eastAsia="Calibri" w:cs="Times New Roman"/>
          <w:color w:val="auto"/>
          <w:lang w:eastAsia="en-US"/>
        </w:rPr>
        <w:t>.</w:t>
      </w:r>
    </w:p>
    <w:p>
      <w:pPr>
        <w:tabs>
          <w:tab w:val="left" w:pos="1701"/>
        </w:tabs>
        <w:ind w:left="567"/>
        <w:jc w:val="center"/>
        <w:rPr>
          <w:rFonts w:ascii="Times New Roman" w:hAnsi="Times New Roman" w:cs="Times New Roman"/>
          <w:b/>
        </w:rPr>
      </w:pPr>
    </w:p>
    <w:p>
      <w:pPr>
        <w:tabs>
          <w:tab w:val="left" w:pos="1701"/>
        </w:tabs>
        <w:ind w:left="567"/>
        <w:jc w:val="center"/>
        <w:rPr>
          <w:rFonts w:ascii="Times New Roman" w:hAnsi="Times New Roman" w:cs="Times New Roman"/>
          <w:b/>
        </w:rPr>
      </w:pPr>
    </w:p>
    <w:p>
      <w:pPr>
        <w:tabs>
          <w:tab w:val="left" w:pos="1701"/>
        </w:tabs>
        <w:ind w:left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Финансово-экономическое обоснование</w:t>
      </w:r>
    </w:p>
    <w:p>
      <w:pPr>
        <w:tabs>
          <w:tab w:val="left" w:pos="1701"/>
        </w:tabs>
        <w:ind w:firstLine="851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</w:rPr>
        <w:t xml:space="preserve">к проекту решения </w:t>
      </w:r>
      <w:r>
        <w:rPr>
          <w:rFonts w:ascii="Times New Roman" w:hAnsi="Times New Roman" w:cs="Times New Roman"/>
          <w:b/>
          <w:color w:val="auto"/>
        </w:rPr>
        <w:t>Думы Белоярского района «О внесении изменений в приложение к решению Думы Белоярского района от 29 октября 2014 года № 486»</w:t>
      </w:r>
    </w:p>
    <w:p>
      <w:pPr>
        <w:tabs>
          <w:tab w:val="left" w:pos="1701"/>
        </w:tabs>
        <w:ind w:firstLine="851"/>
        <w:jc w:val="center"/>
        <w:rPr>
          <w:b/>
        </w:rPr>
      </w:pPr>
    </w:p>
    <w:p>
      <w:pPr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Принятие проекта решения Думы Белоярского района «О внесении изменений в приложение к решению Думы Белоярского района от 29 октября 2014 года № 486» </w:t>
      </w:r>
      <w:r>
        <w:rPr>
          <w:rFonts w:hint="default" w:ascii="Times New Roman" w:hAnsi="Times New Roman" w:cs="Times New Roman"/>
          <w:color w:val="auto"/>
          <w:lang w:val="ru-RU"/>
        </w:rPr>
        <w:t xml:space="preserve"> </w:t>
      </w:r>
      <w:r>
        <w:rPr>
          <w:rFonts w:ascii="Times New Roman" w:hAnsi="Times New Roman" w:cs="Times New Roman"/>
          <w:color w:val="auto"/>
        </w:rPr>
        <w:t>не потребует дополнительных расходов из бюджета Белоярского района.</w:t>
      </w:r>
    </w:p>
    <w:p>
      <w:pPr>
        <w:ind w:firstLine="720"/>
        <w:jc w:val="both"/>
        <w:rPr>
          <w:rFonts w:ascii="Times New Roman" w:hAnsi="Times New Roman" w:cs="Times New Roman"/>
          <w:color w:val="auto"/>
        </w:rPr>
      </w:pPr>
    </w:p>
    <w:p>
      <w:pPr>
        <w:ind w:firstLine="720"/>
        <w:jc w:val="both"/>
        <w:rPr>
          <w:rFonts w:ascii="Times New Roman" w:hAnsi="Times New Roman" w:cs="Times New Roman"/>
          <w:color w:val="auto"/>
        </w:rPr>
      </w:pPr>
    </w:p>
    <w:p>
      <w:pPr>
        <w:ind w:firstLine="720"/>
        <w:jc w:val="both"/>
        <w:rPr>
          <w:rFonts w:ascii="Times New Roman" w:hAnsi="Times New Roman" w:cs="Times New Roman"/>
          <w:color w:val="auto"/>
        </w:rPr>
      </w:pPr>
    </w:p>
    <w:p>
      <w:pPr>
        <w:ind w:firstLine="720"/>
        <w:jc w:val="center"/>
        <w:rPr>
          <w:rFonts w:hint="default" w:ascii="Times New Roman" w:hAnsi="Times New Roman" w:cs="Times New Roman"/>
          <w:color w:val="auto"/>
          <w:lang w:val="ru-RU"/>
        </w:rPr>
      </w:pPr>
      <w:r>
        <w:rPr>
          <w:rFonts w:hint="default" w:ascii="Times New Roman" w:hAnsi="Times New Roman" w:cs="Times New Roman"/>
          <w:color w:val="auto"/>
          <w:lang w:val="ru-RU"/>
        </w:rPr>
        <w:t>_____________</w:t>
      </w:r>
      <w:bookmarkStart w:id="0" w:name="_GoBack"/>
      <w:bookmarkEnd w:id="0"/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ind w:right="40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b/>
          <w:color w:val="auto"/>
        </w:rPr>
        <w:t>Азанова Татьяна Михайловна</w:t>
      </w:r>
      <w:r>
        <w:rPr>
          <w:rFonts w:ascii="Times New Roman" w:hAnsi="Times New Roman" w:eastAsia="Times New Roman" w:cs="Times New Roman"/>
          <w:color w:val="auto"/>
        </w:rPr>
        <w:t xml:space="preserve"> – заместитель председателя Комитета по финансам и налоговой политике администрации Белоярского района, по доходам (тел. 8 (34670) 62-181)</w:t>
      </w:r>
    </w:p>
    <w:p>
      <w:pPr>
        <w:ind w:right="40"/>
        <w:jc w:val="both"/>
        <w:rPr>
          <w:rFonts w:ascii="Times New Roman" w:hAnsi="Times New Roman" w:eastAsia="Times New Roman" w:cs="Times New Roman"/>
          <w:color w:val="auto"/>
        </w:rPr>
      </w:pPr>
    </w:p>
    <w:p>
      <w:pPr>
        <w:ind w:right="40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b/>
          <w:color w:val="auto"/>
        </w:rPr>
        <w:t>Орлова Ольга Николаевна</w:t>
      </w:r>
      <w:r>
        <w:rPr>
          <w:rFonts w:ascii="Times New Roman" w:hAnsi="Times New Roman" w:eastAsia="Times New Roman" w:cs="Times New Roman"/>
          <w:color w:val="auto"/>
        </w:rPr>
        <w:t xml:space="preserve"> – начальник отдела прогнозирования доходов и финансов Комитета по финансам и налоговой политике администрации Белоярского района </w:t>
      </w:r>
    </w:p>
    <w:p>
      <w:pPr>
        <w:ind w:right="40"/>
        <w:jc w:val="both"/>
        <w:rPr>
          <w:rFonts w:ascii="Times New Roman" w:hAnsi="Times New Roman" w:eastAsia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  <w:t xml:space="preserve">(тел. 8 (34670) 2-30-02) </w:t>
      </w:r>
    </w:p>
    <w:p>
      <w:pPr>
        <w:ind w:right="40"/>
        <w:jc w:val="both"/>
        <w:rPr>
          <w:rFonts w:ascii="Times New Roman" w:hAnsi="Times New Roman" w:eastAsia="Times New Roman" w:cs="Times New Roman"/>
          <w:color w:val="auto"/>
        </w:rPr>
      </w:pPr>
    </w:p>
    <w:p>
      <w:pPr>
        <w:ind w:right="40"/>
        <w:jc w:val="both"/>
        <w:rPr>
          <w:rFonts w:ascii="Times New Roman" w:hAnsi="Times New Roman" w:eastAsia="Times New Roman" w:cs="Times New Roman"/>
          <w:color w:val="auto"/>
        </w:rPr>
      </w:pPr>
    </w:p>
    <w:p>
      <w:pPr>
        <w:ind w:right="40"/>
        <w:jc w:val="both"/>
        <w:rPr>
          <w:rFonts w:ascii="Times New Roman" w:hAnsi="Times New Roman" w:eastAsia="Times New Roman" w:cs="Times New Roman"/>
          <w:color w:val="auto"/>
        </w:rPr>
      </w:pPr>
    </w:p>
    <w:p>
      <w:pPr>
        <w:ind w:right="40"/>
        <w:jc w:val="both"/>
        <w:rPr>
          <w:rFonts w:ascii="Times New Roman" w:hAnsi="Times New Roman" w:eastAsia="Times New Roman" w:cs="Times New Roman"/>
          <w:color w:val="auto"/>
        </w:rPr>
      </w:pPr>
    </w:p>
    <w:p>
      <w:pPr>
        <w:ind w:right="40"/>
        <w:jc w:val="both"/>
        <w:rPr>
          <w:rFonts w:ascii="Times New Roman" w:hAnsi="Times New Roman" w:eastAsia="Times New Roman" w:cs="Times New Roman"/>
          <w:color w:val="auto"/>
        </w:rPr>
      </w:pPr>
    </w:p>
    <w:p>
      <w:pPr>
        <w:ind w:right="40"/>
        <w:jc w:val="both"/>
        <w:rPr>
          <w:rFonts w:ascii="Times New Roman" w:hAnsi="Times New Roman" w:eastAsia="Times New Roman" w:cs="Times New Roman"/>
          <w:color w:val="auto"/>
        </w:rPr>
      </w:pPr>
    </w:p>
    <w:p>
      <w:pPr>
        <w:ind w:right="40"/>
        <w:jc w:val="both"/>
        <w:rPr>
          <w:rFonts w:ascii="Times New Roman" w:hAnsi="Times New Roman" w:eastAsia="Times New Roman" w:cs="Times New Roman"/>
          <w:color w:val="auto"/>
        </w:rPr>
      </w:pPr>
    </w:p>
    <w:p>
      <w:pPr>
        <w:ind w:right="40"/>
        <w:jc w:val="both"/>
        <w:rPr>
          <w:rFonts w:ascii="Times New Roman" w:hAnsi="Times New Roman" w:eastAsia="Times New Roman" w:cs="Times New Roman"/>
          <w:color w:val="auto"/>
        </w:rPr>
      </w:pPr>
    </w:p>
    <w:p>
      <w:pPr>
        <w:ind w:right="40"/>
        <w:jc w:val="center"/>
        <w:rPr>
          <w:rFonts w:ascii="Times New Roman" w:hAnsi="Times New Roman" w:eastAsia="Times New Roman" w:cs="Times New Roman"/>
          <w:color w:val="auto"/>
        </w:rPr>
      </w:pPr>
    </w:p>
    <w:sectPr>
      <w:type w:val="continuous"/>
      <w:pgSz w:w="11909" w:h="16838"/>
      <w:pgMar w:top="709" w:right="1058" w:bottom="426" w:left="1053" w:header="0" w:footer="3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08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D31"/>
    <w:rsid w:val="0000641B"/>
    <w:rsid w:val="000105E2"/>
    <w:rsid w:val="0002144C"/>
    <w:rsid w:val="00032CAB"/>
    <w:rsid w:val="00060729"/>
    <w:rsid w:val="00065124"/>
    <w:rsid w:val="00086F4F"/>
    <w:rsid w:val="000A3D37"/>
    <w:rsid w:val="000C0766"/>
    <w:rsid w:val="000F3B34"/>
    <w:rsid w:val="0012293C"/>
    <w:rsid w:val="0012306E"/>
    <w:rsid w:val="00142EC9"/>
    <w:rsid w:val="001469DE"/>
    <w:rsid w:val="001906ED"/>
    <w:rsid w:val="001951D6"/>
    <w:rsid w:val="001B7FCB"/>
    <w:rsid w:val="001C5623"/>
    <w:rsid w:val="001D5BCF"/>
    <w:rsid w:val="001D6DF4"/>
    <w:rsid w:val="001F72F8"/>
    <w:rsid w:val="00214840"/>
    <w:rsid w:val="00235758"/>
    <w:rsid w:val="00237CBF"/>
    <w:rsid w:val="002437A4"/>
    <w:rsid w:val="00254123"/>
    <w:rsid w:val="002542DF"/>
    <w:rsid w:val="00273BE3"/>
    <w:rsid w:val="002A3A50"/>
    <w:rsid w:val="002B6B02"/>
    <w:rsid w:val="002C2CCA"/>
    <w:rsid w:val="002C4B9C"/>
    <w:rsid w:val="003009DD"/>
    <w:rsid w:val="00301CC4"/>
    <w:rsid w:val="00306B7A"/>
    <w:rsid w:val="00314128"/>
    <w:rsid w:val="00322307"/>
    <w:rsid w:val="003534F4"/>
    <w:rsid w:val="00361E02"/>
    <w:rsid w:val="003752E5"/>
    <w:rsid w:val="003753B3"/>
    <w:rsid w:val="003878AC"/>
    <w:rsid w:val="00396476"/>
    <w:rsid w:val="003A66FC"/>
    <w:rsid w:val="003C503B"/>
    <w:rsid w:val="003D5C95"/>
    <w:rsid w:val="003E507C"/>
    <w:rsid w:val="00445C69"/>
    <w:rsid w:val="00473C37"/>
    <w:rsid w:val="00490389"/>
    <w:rsid w:val="004A33EF"/>
    <w:rsid w:val="004A6DB6"/>
    <w:rsid w:val="004B1FB1"/>
    <w:rsid w:val="004B240E"/>
    <w:rsid w:val="00502BD2"/>
    <w:rsid w:val="00566A50"/>
    <w:rsid w:val="00570C7E"/>
    <w:rsid w:val="005B04B3"/>
    <w:rsid w:val="005B3FEB"/>
    <w:rsid w:val="005C7A36"/>
    <w:rsid w:val="005D3DC9"/>
    <w:rsid w:val="005E1ED0"/>
    <w:rsid w:val="005E69BE"/>
    <w:rsid w:val="00607138"/>
    <w:rsid w:val="00627CFD"/>
    <w:rsid w:val="00633B3B"/>
    <w:rsid w:val="0064622E"/>
    <w:rsid w:val="00690503"/>
    <w:rsid w:val="006C1007"/>
    <w:rsid w:val="006E1E4A"/>
    <w:rsid w:val="006E33D4"/>
    <w:rsid w:val="00716172"/>
    <w:rsid w:val="007228AB"/>
    <w:rsid w:val="00734A44"/>
    <w:rsid w:val="00745F4E"/>
    <w:rsid w:val="00750D72"/>
    <w:rsid w:val="00762AAF"/>
    <w:rsid w:val="00774EFB"/>
    <w:rsid w:val="007A087B"/>
    <w:rsid w:val="007A6DA3"/>
    <w:rsid w:val="007E0C8C"/>
    <w:rsid w:val="007E7121"/>
    <w:rsid w:val="007F46EB"/>
    <w:rsid w:val="00801755"/>
    <w:rsid w:val="008128C1"/>
    <w:rsid w:val="0081613C"/>
    <w:rsid w:val="00827633"/>
    <w:rsid w:val="008436D3"/>
    <w:rsid w:val="00850C60"/>
    <w:rsid w:val="00864986"/>
    <w:rsid w:val="00866F4A"/>
    <w:rsid w:val="00875F67"/>
    <w:rsid w:val="008B37C0"/>
    <w:rsid w:val="008B5063"/>
    <w:rsid w:val="0092041B"/>
    <w:rsid w:val="0095393B"/>
    <w:rsid w:val="00967CF8"/>
    <w:rsid w:val="00986F07"/>
    <w:rsid w:val="009A59D4"/>
    <w:rsid w:val="009C7CD3"/>
    <w:rsid w:val="009E7B21"/>
    <w:rsid w:val="00A353CE"/>
    <w:rsid w:val="00A53F55"/>
    <w:rsid w:val="00AA2EFE"/>
    <w:rsid w:val="00AB3FB4"/>
    <w:rsid w:val="00AC57FD"/>
    <w:rsid w:val="00AC6AB7"/>
    <w:rsid w:val="00AD2A57"/>
    <w:rsid w:val="00AD4D31"/>
    <w:rsid w:val="00AE2E7D"/>
    <w:rsid w:val="00AE3B3E"/>
    <w:rsid w:val="00AE4458"/>
    <w:rsid w:val="00AF0ABB"/>
    <w:rsid w:val="00AF5B96"/>
    <w:rsid w:val="00B5161B"/>
    <w:rsid w:val="00B5725B"/>
    <w:rsid w:val="00B576B5"/>
    <w:rsid w:val="00BA3FD5"/>
    <w:rsid w:val="00BC4E69"/>
    <w:rsid w:val="00C01D3C"/>
    <w:rsid w:val="00C15595"/>
    <w:rsid w:val="00C227AA"/>
    <w:rsid w:val="00C360B4"/>
    <w:rsid w:val="00C80C6D"/>
    <w:rsid w:val="00C81C29"/>
    <w:rsid w:val="00C82E29"/>
    <w:rsid w:val="00C95A8B"/>
    <w:rsid w:val="00C97F04"/>
    <w:rsid w:val="00CA6716"/>
    <w:rsid w:val="00CB0625"/>
    <w:rsid w:val="00CC1BFB"/>
    <w:rsid w:val="00CC6957"/>
    <w:rsid w:val="00D21A6D"/>
    <w:rsid w:val="00D42A1D"/>
    <w:rsid w:val="00D82ABE"/>
    <w:rsid w:val="00D95C0E"/>
    <w:rsid w:val="00D96353"/>
    <w:rsid w:val="00DD5852"/>
    <w:rsid w:val="00DF1562"/>
    <w:rsid w:val="00E0233E"/>
    <w:rsid w:val="00E17EEA"/>
    <w:rsid w:val="00E212B9"/>
    <w:rsid w:val="00E46C5C"/>
    <w:rsid w:val="00E70487"/>
    <w:rsid w:val="00E75980"/>
    <w:rsid w:val="00E90F19"/>
    <w:rsid w:val="00EA49E1"/>
    <w:rsid w:val="00EA4CE3"/>
    <w:rsid w:val="00EA78A3"/>
    <w:rsid w:val="00EB23EB"/>
    <w:rsid w:val="00EB6A07"/>
    <w:rsid w:val="00EE5A00"/>
    <w:rsid w:val="00F326C0"/>
    <w:rsid w:val="00F5473A"/>
    <w:rsid w:val="00F713DF"/>
    <w:rsid w:val="00F73A61"/>
    <w:rsid w:val="00F84654"/>
    <w:rsid w:val="00F87E95"/>
    <w:rsid w:val="00F918CB"/>
    <w:rsid w:val="00FE156F"/>
    <w:rsid w:val="00FE6241"/>
    <w:rsid w:val="00FE732E"/>
    <w:rsid w:val="00FF4525"/>
    <w:rsid w:val="0BD36E76"/>
    <w:rsid w:val="0D137DE9"/>
    <w:rsid w:val="0E264E66"/>
    <w:rsid w:val="14DA0246"/>
    <w:rsid w:val="1A2A2A6A"/>
    <w:rsid w:val="1BBA47D5"/>
    <w:rsid w:val="21647548"/>
    <w:rsid w:val="2C617F7D"/>
    <w:rsid w:val="2DD976D4"/>
    <w:rsid w:val="3ACB05BE"/>
    <w:rsid w:val="3E021D6A"/>
    <w:rsid w:val="42C46939"/>
    <w:rsid w:val="444E2B02"/>
    <w:rsid w:val="453E0BB7"/>
    <w:rsid w:val="4C4F40BE"/>
    <w:rsid w:val="4F810293"/>
    <w:rsid w:val="4F842576"/>
    <w:rsid w:val="51041B0A"/>
    <w:rsid w:val="605B4A7B"/>
    <w:rsid w:val="62F9239B"/>
    <w:rsid w:val="667214CD"/>
    <w:rsid w:val="6803791C"/>
    <w:rsid w:val="6E594A99"/>
    <w:rsid w:val="73E35C6A"/>
    <w:rsid w:val="745B17C3"/>
    <w:rsid w:val="790E6AD3"/>
    <w:rsid w:val="7D525056"/>
    <w:rsid w:val="7EF8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</w:pPr>
    <w:rPr>
      <w:rFonts w:ascii="Courier New" w:hAnsi="Courier New" w:eastAsia="Courier New" w:cs="Courier New"/>
      <w:color w:val="000000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widowControl/>
      <w:jc w:val="center"/>
      <w:outlineLvl w:val="0"/>
    </w:pPr>
    <w:rPr>
      <w:rFonts w:ascii="Times New Roman" w:hAnsi="Times New Roman" w:eastAsia="Times New Roman" w:cs="Times New Roman"/>
      <w:b/>
      <w:color w:val="auto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qFormat/>
    <w:uiPriority w:val="0"/>
    <w:rPr>
      <w:color w:val="0066CC"/>
      <w:u w:val="single"/>
    </w:rPr>
  </w:style>
  <w:style w:type="paragraph" w:styleId="6">
    <w:name w:val="Balloon Text"/>
    <w:basedOn w:val="1"/>
    <w:link w:val="16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7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Основной текст (2)_"/>
    <w:basedOn w:val="3"/>
    <w:link w:val="9"/>
    <w:qFormat/>
    <w:uiPriority w:val="0"/>
    <w:rPr>
      <w:rFonts w:ascii="Times New Roman" w:hAnsi="Times New Roman" w:eastAsia="Times New Roman" w:cs="Times New Roman"/>
      <w:b/>
      <w:bCs/>
      <w:sz w:val="23"/>
      <w:szCs w:val="23"/>
      <w:u w:val="none"/>
    </w:rPr>
  </w:style>
  <w:style w:type="paragraph" w:customStyle="1" w:styleId="9">
    <w:name w:val="Основной текст (2)"/>
    <w:basedOn w:val="1"/>
    <w:link w:val="8"/>
    <w:qFormat/>
    <w:uiPriority w:val="0"/>
    <w:pPr>
      <w:shd w:val="clear" w:color="auto" w:fill="FFFFFF"/>
      <w:spacing w:line="274" w:lineRule="exact"/>
      <w:jc w:val="both"/>
    </w:pPr>
    <w:rPr>
      <w:rFonts w:ascii="Times New Roman" w:hAnsi="Times New Roman" w:eastAsia="Times New Roman" w:cs="Times New Roman"/>
      <w:b/>
      <w:bCs/>
      <w:sz w:val="23"/>
      <w:szCs w:val="23"/>
    </w:rPr>
  </w:style>
  <w:style w:type="character" w:customStyle="1" w:styleId="10">
    <w:name w:val="Основной текст_"/>
    <w:basedOn w:val="3"/>
    <w:link w:val="11"/>
    <w:qFormat/>
    <w:uiPriority w:val="0"/>
    <w:rPr>
      <w:rFonts w:ascii="Times New Roman" w:hAnsi="Times New Roman" w:eastAsia="Times New Roman" w:cs="Times New Roman"/>
      <w:sz w:val="23"/>
      <w:szCs w:val="23"/>
      <w:u w:val="none"/>
    </w:rPr>
  </w:style>
  <w:style w:type="paragraph" w:customStyle="1" w:styleId="11">
    <w:name w:val="Основной текст1"/>
    <w:basedOn w:val="1"/>
    <w:link w:val="10"/>
    <w:qFormat/>
    <w:uiPriority w:val="0"/>
    <w:pPr>
      <w:shd w:val="clear" w:color="auto" w:fill="FFFFFF"/>
      <w:spacing w:before="480" w:after="60" w:line="274" w:lineRule="exact"/>
      <w:jc w:val="both"/>
    </w:pPr>
    <w:rPr>
      <w:rFonts w:ascii="Times New Roman" w:hAnsi="Times New Roman" w:eastAsia="Times New Roman" w:cs="Times New Roman"/>
      <w:sz w:val="23"/>
      <w:szCs w:val="23"/>
    </w:rPr>
  </w:style>
  <w:style w:type="paragraph" w:customStyle="1" w:styleId="12">
    <w:name w:val="ConsPlusNormal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13">
    <w:name w:val="Основной текст + Sylfaen;14;5 pt;Курсив"/>
    <w:basedOn w:val="10"/>
    <w:qFormat/>
    <w:uiPriority w:val="0"/>
    <w:rPr>
      <w:rFonts w:ascii="Sylfaen" w:hAnsi="Sylfaen" w:eastAsia="Sylfaen" w:cs="Sylfaen"/>
      <w:i/>
      <w:iCs/>
      <w:color w:val="000000"/>
      <w:spacing w:val="0"/>
      <w:w w:val="100"/>
      <w:position w:val="0"/>
      <w:sz w:val="29"/>
      <w:szCs w:val="29"/>
      <w:u w:val="none"/>
      <w:shd w:val="clear" w:color="auto" w:fill="FFFFFF"/>
      <w:lang w:val="ru-RU"/>
    </w:rPr>
  </w:style>
  <w:style w:type="paragraph" w:styleId="14">
    <w:name w:val="List Paragraph"/>
    <w:basedOn w:val="1"/>
    <w:qFormat/>
    <w:uiPriority w:val="34"/>
    <w:pPr>
      <w:widowControl/>
      <w:spacing w:after="200" w:line="276" w:lineRule="auto"/>
      <w:ind w:left="720"/>
      <w:contextualSpacing/>
    </w:pPr>
    <w:rPr>
      <w:rFonts w:ascii="Calibri" w:hAnsi="Calibri" w:eastAsia="Calibri" w:cs="Times New Roman"/>
      <w:color w:val="auto"/>
      <w:sz w:val="22"/>
      <w:szCs w:val="22"/>
      <w:lang w:eastAsia="en-US"/>
    </w:rPr>
  </w:style>
  <w:style w:type="character" w:customStyle="1" w:styleId="15">
    <w:name w:val="Заголовок 1 Знак"/>
    <w:basedOn w:val="3"/>
    <w:link w:val="2"/>
    <w:qFormat/>
    <w:uiPriority w:val="0"/>
    <w:rPr>
      <w:rFonts w:ascii="Times New Roman" w:hAnsi="Times New Roman" w:eastAsia="Times New Roman" w:cs="Times New Roman"/>
      <w:b/>
    </w:rPr>
  </w:style>
  <w:style w:type="character" w:customStyle="1" w:styleId="16">
    <w:name w:val="Текст выноски Знак"/>
    <w:basedOn w:val="3"/>
    <w:link w:val="6"/>
    <w:semiHidden/>
    <w:qFormat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17">
    <w:name w:val="Основной текст + 12 p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4</Pages>
  <Words>1564</Words>
  <Characters>8919</Characters>
  <Lines>74</Lines>
  <Paragraphs>20</Paragraphs>
  <TotalTime>20</TotalTime>
  <ScaleCrop>false</ScaleCrop>
  <LinksUpToDate>false</LinksUpToDate>
  <CharactersWithSpaces>10463</CharactersWithSpaces>
  <Application>WPS Office_11.2.0.11074_F1E327BC-269C-435d-A152-05C5408002CA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2018-12-06T04:59:00Z</dcterms:created>
  <dc:creator>AzanovaTM</dc:creator>
  <cp:lastModifiedBy>OrlovaON</cp:lastModifiedBy>
  <cp:lastPrinted>2022-04-25T10:06:00Z</cp:lastPrinted>
  <dcterms:modified xsi:type="dcterms:W3CDTF">2022-04-26T07:17:50Z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1049-11.2.0.11074</vt:lpwstr>
  </property>
  <property fmtid="{D5CDD505-2E9C-101B-9397-08002B2CF9AE}" pid="3" name="ICV">
    <vt:lpwstr>73EEA5CA7B644AED8276206523743902</vt:lpwstr>
  </property>
</Properties>
</file>